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方正仿宋_GBK" w:hAnsi="方正仿宋_GBK" w:eastAsia="方正黑体_GBK" w:cs="方正仿宋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2</w:t>
      </w:r>
    </w:p>
    <w:p>
      <w:pPr>
        <w:tabs>
          <w:tab w:val="left" w:pos="9193"/>
          <w:tab w:val="left" w:pos="9827"/>
        </w:tabs>
        <w:autoSpaceDE w:val="0"/>
        <w:autoSpaceDN w:val="0"/>
        <w:snapToGrid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句容市机关服务中心2022年政府</w:t>
      </w:r>
    </w:p>
    <w:p>
      <w:pPr>
        <w:tabs>
          <w:tab w:val="left" w:pos="9193"/>
          <w:tab w:val="left" w:pos="9827"/>
        </w:tabs>
        <w:autoSpaceDE w:val="0"/>
        <w:autoSpaceDN w:val="0"/>
        <w:snapToGrid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snapToGrid w:val="0"/>
          <w:kern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信息公开工作年度报告</w:t>
      </w:r>
    </w:p>
    <w:p>
      <w:pPr>
        <w:tabs>
          <w:tab w:val="left" w:pos="9193"/>
          <w:tab w:val="left" w:pos="9827"/>
        </w:tabs>
        <w:autoSpaceDE w:val="0"/>
        <w:autoSpaceDN w:val="0"/>
        <w:snapToGrid w:val="0"/>
        <w:spacing w:line="560" w:lineRule="exact"/>
        <w:jc w:val="left"/>
        <w:rPr>
          <w:rFonts w:hint="eastAsia" w:ascii="方正仿宋_GBK" w:hAnsi="方正仿宋_GBK" w:eastAsia="方正仿宋_GBK" w:cs="方正仿宋_GBK"/>
          <w:snapToGrid w:val="0"/>
          <w:kern w:val="0"/>
          <w:sz w:val="32"/>
          <w:szCs w:val="32"/>
          <w:lang w:eastAsia="zh-CN"/>
        </w:rPr>
      </w:pPr>
    </w:p>
    <w:p>
      <w:pPr>
        <w:spacing w:line="560" w:lineRule="exact"/>
        <w:ind w:firstLine="630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一、总体情况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依托句容市机关政府门户网站，主动发布政府信息公开制度1条、领导分工信息1条、人事任免2条，部门文件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条。及时在江苏省预决算公开统一平台发布预算公开、决算公开、资产信息公开、绩效信息公开。</w:t>
      </w:r>
    </w:p>
    <w:p>
      <w:pPr>
        <w:spacing w:line="560" w:lineRule="exact"/>
        <w:ind w:firstLine="630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二、主动公开政府信息情况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4"/>
          </w:tcPr>
          <w:p>
            <w:pPr>
              <w:spacing w:line="560" w:lineRule="exact"/>
              <w:jc w:val="center"/>
              <w:rPr>
                <w:rFonts w:hint="eastAsia" w:ascii="方正楷体_GBK" w:hAnsi="宋体" w:eastAsia="方正楷体_GBK" w:cs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eastAsia="zh-CN"/>
              </w:rPr>
              <w:t>第二十条</w:t>
            </w: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eastAsia="zh-CN"/>
              </w:rPr>
              <w:t>第（一）项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信息内容</w:t>
            </w:r>
          </w:p>
        </w:tc>
        <w:tc>
          <w:tcPr>
            <w:tcW w:w="2265" w:type="dxa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本年制发件数</w:t>
            </w:r>
          </w:p>
        </w:tc>
        <w:tc>
          <w:tcPr>
            <w:tcW w:w="2265" w:type="dxa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本年废止件数</w:t>
            </w:r>
          </w:p>
        </w:tc>
        <w:tc>
          <w:tcPr>
            <w:tcW w:w="2265" w:type="dxa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现行有效件数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</w:tcPr>
          <w:p>
            <w:pPr>
              <w:spacing w:line="56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eastAsia="zh-CN"/>
              </w:rPr>
              <w:t>规章</w:t>
            </w:r>
          </w:p>
        </w:tc>
        <w:tc>
          <w:tcPr>
            <w:tcW w:w="2265" w:type="dxa"/>
          </w:tcPr>
          <w:p>
            <w:pPr>
              <w:spacing w:line="560" w:lineRule="exact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2265" w:type="dxa"/>
          </w:tcPr>
          <w:p>
            <w:pPr>
              <w:spacing w:line="560" w:lineRule="exact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2265" w:type="dxa"/>
          </w:tcPr>
          <w:p>
            <w:pPr>
              <w:spacing w:line="560" w:lineRule="exact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</w:tcPr>
          <w:p>
            <w:pPr>
              <w:spacing w:line="56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eastAsia="zh-CN"/>
              </w:rPr>
              <w:t>行政规范性文件</w:t>
            </w:r>
          </w:p>
        </w:tc>
        <w:tc>
          <w:tcPr>
            <w:tcW w:w="2265" w:type="dxa"/>
          </w:tcPr>
          <w:p>
            <w:pPr>
              <w:spacing w:line="560" w:lineRule="exact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2265" w:type="dxa"/>
          </w:tcPr>
          <w:p>
            <w:pPr>
              <w:spacing w:line="560" w:lineRule="exact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2265" w:type="dxa"/>
          </w:tcPr>
          <w:p>
            <w:pPr>
              <w:spacing w:line="560" w:lineRule="exact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4"/>
          </w:tcPr>
          <w:p>
            <w:pPr>
              <w:spacing w:line="560" w:lineRule="exact"/>
              <w:jc w:val="center"/>
              <w:rPr>
                <w:rFonts w:hint="default" w:ascii="方正楷体_GBK" w:hAnsi="宋体" w:eastAsia="方正楷体_GBK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eastAsia="zh-CN"/>
              </w:rPr>
              <w:t>第二十条</w:t>
            </w: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  <w:t xml:space="preserve">  第（五）项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信息内容</w:t>
            </w:r>
          </w:p>
        </w:tc>
        <w:tc>
          <w:tcPr>
            <w:tcW w:w="6795" w:type="dxa"/>
            <w:gridSpan w:val="3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本年处理决定数量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</w:tcPr>
          <w:p>
            <w:pPr>
              <w:spacing w:line="560" w:lineRule="exact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eastAsia="zh-CN"/>
              </w:rPr>
              <w:t>行政许可</w:t>
            </w:r>
          </w:p>
        </w:tc>
        <w:tc>
          <w:tcPr>
            <w:tcW w:w="6795" w:type="dxa"/>
            <w:gridSpan w:val="3"/>
          </w:tcPr>
          <w:p>
            <w:pPr>
              <w:spacing w:line="560" w:lineRule="exact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4"/>
          </w:tcPr>
          <w:p>
            <w:pPr>
              <w:spacing w:line="560" w:lineRule="exact"/>
              <w:jc w:val="center"/>
              <w:rPr>
                <w:rFonts w:hint="eastAsia" w:ascii="方正楷体_GBK" w:hAnsi="宋体" w:eastAsia="方正楷体_GBK" w:cs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eastAsia="zh-CN"/>
              </w:rPr>
              <w:t>第二十条</w:t>
            </w: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  <w:t xml:space="preserve">  第（六）项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信息内容</w:t>
            </w:r>
          </w:p>
        </w:tc>
        <w:tc>
          <w:tcPr>
            <w:tcW w:w="6795" w:type="dxa"/>
            <w:gridSpan w:val="3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本年处理决定数量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</w:tcPr>
          <w:p>
            <w:pPr>
              <w:spacing w:line="56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eastAsia="zh-CN"/>
              </w:rPr>
              <w:t>行政处罚</w:t>
            </w:r>
          </w:p>
        </w:tc>
        <w:tc>
          <w:tcPr>
            <w:tcW w:w="2265" w:type="dxa"/>
          </w:tcPr>
          <w:p>
            <w:pPr>
              <w:spacing w:line="560" w:lineRule="exact"/>
              <w:rPr>
                <w:rFonts w:hint="default" w:ascii="方正楷体_GBK" w:hAnsi="宋体" w:eastAsia="方正楷体_GBK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楷体_GBK" w:hAnsi="宋体" w:eastAsia="方正楷体_GBK" w:cs="宋体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2265" w:type="dxa"/>
          </w:tcPr>
          <w:p>
            <w:pPr>
              <w:spacing w:line="560" w:lineRule="exact"/>
              <w:rPr>
                <w:rFonts w:hint="default" w:ascii="方正楷体_GBK" w:hAnsi="宋体" w:eastAsia="方正楷体_GBK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5" w:type="dxa"/>
          </w:tcPr>
          <w:p>
            <w:pPr>
              <w:spacing w:line="560" w:lineRule="exact"/>
              <w:rPr>
                <w:rFonts w:hint="eastAsia" w:ascii="方正楷体_GBK" w:hAnsi="宋体" w:eastAsia="方正楷体_GBK" w:cs="宋体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</w:tcPr>
          <w:p>
            <w:pPr>
              <w:spacing w:line="56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eastAsia="zh-CN"/>
              </w:rPr>
              <w:t>行政强制</w:t>
            </w:r>
          </w:p>
        </w:tc>
        <w:tc>
          <w:tcPr>
            <w:tcW w:w="2265" w:type="dxa"/>
          </w:tcPr>
          <w:p>
            <w:pPr>
              <w:spacing w:line="560" w:lineRule="exact"/>
              <w:rPr>
                <w:rFonts w:hint="default" w:ascii="方正楷体_GBK" w:hAnsi="宋体" w:eastAsia="方正楷体_GBK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楷体_GBK" w:hAnsi="宋体" w:eastAsia="方正楷体_GBK" w:cs="宋体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2265" w:type="dxa"/>
          </w:tcPr>
          <w:p>
            <w:pPr>
              <w:spacing w:line="560" w:lineRule="exact"/>
              <w:rPr>
                <w:rFonts w:hint="eastAsia" w:ascii="方正楷体_GBK" w:hAnsi="宋体" w:eastAsia="方正楷体_GBK" w:cs="宋体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265" w:type="dxa"/>
          </w:tcPr>
          <w:p>
            <w:pPr>
              <w:spacing w:line="560" w:lineRule="exact"/>
              <w:rPr>
                <w:rFonts w:hint="eastAsia" w:ascii="方正楷体_GBK" w:hAnsi="宋体" w:eastAsia="方正楷体_GBK" w:cs="宋体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4"/>
          </w:tcPr>
          <w:p>
            <w:pPr>
              <w:spacing w:line="560" w:lineRule="exact"/>
              <w:jc w:val="center"/>
              <w:rPr>
                <w:rFonts w:hint="eastAsia" w:ascii="方正楷体_GBK" w:hAnsi="宋体" w:eastAsia="方正楷体_GBK" w:cs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eastAsia="zh-CN"/>
              </w:rPr>
              <w:t>第二十条</w:t>
            </w: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  <w:t xml:space="preserve">  第（八）项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</w:tcPr>
          <w:p>
            <w:pPr>
              <w:spacing w:line="560" w:lineRule="exact"/>
              <w:jc w:val="center"/>
              <w:rPr>
                <w:rFonts w:hint="eastAsia" w:ascii="方正楷体_GBK" w:hAnsi="宋体" w:eastAsia="方正楷体_GBK" w:cs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信息内容</w:t>
            </w:r>
          </w:p>
        </w:tc>
        <w:tc>
          <w:tcPr>
            <w:tcW w:w="6795" w:type="dxa"/>
            <w:gridSpan w:val="3"/>
          </w:tcPr>
          <w:p>
            <w:pPr>
              <w:spacing w:line="560" w:lineRule="exact"/>
              <w:jc w:val="center"/>
              <w:rPr>
                <w:rFonts w:hint="eastAsia" w:ascii="方正楷体_GBK" w:hAnsi="宋体" w:eastAsia="方正楷体_GBK" w:cs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本年收费金额（单位：万元）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</w:tcPr>
          <w:p>
            <w:pPr>
              <w:spacing w:line="560" w:lineRule="exact"/>
              <w:rPr>
                <w:rFonts w:hint="eastAsia" w:ascii="方正楷体_GBK" w:hAnsi="宋体" w:eastAsia="方正楷体_GBK" w:cs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eastAsia="zh-CN"/>
              </w:rPr>
              <w:t>行政事业性收费</w:t>
            </w:r>
          </w:p>
        </w:tc>
        <w:tc>
          <w:tcPr>
            <w:tcW w:w="6795" w:type="dxa"/>
            <w:gridSpan w:val="3"/>
          </w:tcPr>
          <w:p>
            <w:pPr>
              <w:spacing w:line="560" w:lineRule="exact"/>
              <w:rPr>
                <w:rFonts w:hint="default" w:ascii="方正楷体_GBK" w:hAnsi="宋体" w:eastAsia="方正楷体_GBK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楷体_GBK" w:hAnsi="宋体" w:eastAsia="方正楷体_GBK" w:cs="宋体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</w:tr>
    </w:tbl>
    <w:p>
      <w:pPr>
        <w:spacing w:line="560" w:lineRule="exact"/>
        <w:ind w:firstLine="630"/>
        <w:rPr>
          <w:rFonts w:hint="eastAsia" w:ascii="方正楷体_GBK" w:hAnsi="宋体" w:eastAsia="方正楷体_GBK" w:cs="宋体"/>
          <w:sz w:val="32"/>
          <w:szCs w:val="32"/>
          <w:lang w:eastAsia="zh-CN"/>
        </w:rPr>
      </w:pPr>
    </w:p>
    <w:p>
      <w:pPr>
        <w:spacing w:line="560" w:lineRule="exact"/>
        <w:ind w:firstLine="630"/>
        <w:rPr>
          <w:rFonts w:hint="eastAsia" w:ascii="方正楷体_GBK" w:hAnsi="宋体" w:eastAsia="方正楷体_GBK" w:cs="宋体"/>
          <w:sz w:val="24"/>
        </w:rPr>
      </w:pPr>
    </w:p>
    <w:p>
      <w:pPr>
        <w:spacing w:line="560" w:lineRule="exact"/>
        <w:ind w:firstLine="630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三、收到和处理政府信息公开申请情况</w:t>
      </w:r>
    </w:p>
    <w:tbl>
      <w:tblPr>
        <w:tblStyle w:val="2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6"/>
        <w:gridCol w:w="846"/>
        <w:gridCol w:w="2364"/>
        <w:gridCol w:w="509"/>
        <w:gridCol w:w="617"/>
        <w:gridCol w:w="671"/>
        <w:gridCol w:w="683"/>
        <w:gridCol w:w="635"/>
        <w:gridCol w:w="508"/>
        <w:gridCol w:w="5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2575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2424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2575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自然人</w:t>
            </w:r>
          </w:p>
        </w:tc>
        <w:tc>
          <w:tcPr>
            <w:tcW w:w="1828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法人或其他组织</w:t>
            </w:r>
          </w:p>
        </w:tc>
        <w:tc>
          <w:tcPr>
            <w:tcW w:w="2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2575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机构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社会公益组织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法律服务机构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</w:p>
        </w:tc>
        <w:tc>
          <w:tcPr>
            <w:tcW w:w="2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57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57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三、本年度办理结果</w:t>
            </w:r>
          </w:p>
        </w:tc>
        <w:tc>
          <w:tcPr>
            <w:tcW w:w="188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（一）予以公开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8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(三）不予公开</w:t>
            </w: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1.属于国家秘密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2.其他法律行政法规禁止公开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3.危及“三安全一稳定”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4.保护第三方合法权益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5.属于三类内部事务信息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0" w:hRule="atLeast"/>
        </w:trPr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6.属于四类过程性信息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7.属于行政执法案卷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8.属于行政查询事项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（四）无法提供</w:t>
            </w: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1.本机关不掌握相关政府信息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2.没有现成信息需要另行制作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3.补正后申请内容仍不明确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（五）不予处理</w:t>
            </w: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1.信访举报投诉类申请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2.重复申请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3.要求提供公开出版物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4.无正当理由大量反复申请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（六）其他处理</w:t>
            </w: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3.其他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8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（七）总计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57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四、结转下年度继续办理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</w:tbl>
    <w:p>
      <w:pPr>
        <w:adjustRightInd w:val="0"/>
        <w:spacing w:line="560" w:lineRule="exact"/>
        <w:ind w:firstLine="548" w:firstLineChars="196"/>
        <w:rPr>
          <w:rFonts w:hint="eastAsia" w:ascii="方正楷体_GBK" w:hAnsi="Calibri" w:eastAsia="方正楷体_GBK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四、政府信息公开行政复议、行政诉讼</w:t>
      </w:r>
    </w:p>
    <w:tbl>
      <w:tblPr>
        <w:tblStyle w:val="2"/>
        <w:tblW w:w="90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601"/>
        <w:gridCol w:w="601"/>
        <w:gridCol w:w="601"/>
        <w:gridCol w:w="601"/>
        <w:gridCol w:w="601"/>
        <w:gridCol w:w="601"/>
        <w:gridCol w:w="601"/>
        <w:gridCol w:w="601"/>
        <w:gridCol w:w="601"/>
        <w:gridCol w:w="601"/>
        <w:gridCol w:w="601"/>
        <w:gridCol w:w="601"/>
        <w:gridCol w:w="601"/>
        <w:gridCol w:w="6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0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行政复议</w:t>
            </w:r>
          </w:p>
        </w:tc>
        <w:tc>
          <w:tcPr>
            <w:tcW w:w="601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结果维持</w:t>
            </w:r>
          </w:p>
        </w:tc>
        <w:tc>
          <w:tcPr>
            <w:tcW w:w="6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结果纠正</w:t>
            </w:r>
          </w:p>
        </w:tc>
        <w:tc>
          <w:tcPr>
            <w:tcW w:w="6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其他结果</w:t>
            </w:r>
          </w:p>
        </w:tc>
        <w:tc>
          <w:tcPr>
            <w:tcW w:w="6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尚未审结</w:t>
            </w:r>
          </w:p>
        </w:tc>
        <w:tc>
          <w:tcPr>
            <w:tcW w:w="6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总计</w:t>
            </w:r>
          </w:p>
        </w:tc>
        <w:tc>
          <w:tcPr>
            <w:tcW w:w="30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未经复议直接起诉</w:t>
            </w:r>
          </w:p>
        </w:tc>
        <w:tc>
          <w:tcPr>
            <w:tcW w:w="30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结果维持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结果纠正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其他结果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尚未审结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总计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结果维持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结果纠正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其他结果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尚未审结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</w:tr>
    </w:tbl>
    <w:p>
      <w:pPr>
        <w:numPr>
          <w:ilvl w:val="0"/>
          <w:numId w:val="0"/>
        </w:numPr>
        <w:adjustRightInd w:val="0"/>
        <w:spacing w:line="560" w:lineRule="exact"/>
        <w:rPr>
          <w:rFonts w:hint="eastAsia" w:ascii="方正楷体_GBK" w:hAnsi="Calibri" w:eastAsia="方正楷体_GBK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五、存在的主要问题及改进情况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存在的主要问题有：一是受机构职能所限，可面向市民群众公开的政务信息比较少，主动公开的深度广度有待进一步拓展，从公众视角开展政务公开工作的意识还不够强。二是政策解读的水平有待进一步提升，在丰富解读形式和方式、拓宽政策解读发布渠道等方面需加强。针对专业性较强的政策，在有针对性地开展深度解读和延伸解读，提升解读效果方面需下功夫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下一步将重点从以下三方面改进提升：一是提升政务公开质量效果。主动公开方面，以政府信息公开平台为依托，推动公开内容进一步聚焦重点政务信息，进一步聚焦经济社会发展需要和人民群众关注关切，以公开促落实、以公开促规范、以公开促服务。依申请公开方面，进一步规范办理流程，落实各环节责任，严格遵守办理程序和办理时限，提升政府信息公开申请办理工作质量，依法保障公众合理信息需求。二是加强网站与政务新媒体建设。认真高效做好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中心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门户网站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的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常态化管理，及时发布政务信息，确保信息及时、准确、规范的对外公开。提高政策解读能力，更多采用政策简明问答和事例、数据、图表图解、音频视频等方式解读，拓宽政策解读发布渠道。强化网络安全责任，抓好网站和政务新媒体安全防护。三是提高政务公开工作水平。严格按照条例要求，提升政务公开意识和能力。强化各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科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室（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中心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）主动公开意识，健全完善政策解读、政务舆情回应等工作制度。强化保障机制，加强监督、检查和指导工作，改善政务公开不主动、不积极、不及时等问题。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六、其他需要报告的事项</w:t>
      </w:r>
    </w:p>
    <w:p>
      <w:pPr>
        <w:ind w:firstLine="640" w:firstLineChars="200"/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无其他需要报告事项。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yZTk3NmM2MzJhNzEyZDc1ZWYwNDQ1MDY2OGU4NWQifQ=="/>
    <w:docVar w:name="KSO_WPS_MARK_KEY" w:val="060a426c-3ece-486e-a5f2-b5b706e20642"/>
  </w:docVars>
  <w:rsids>
    <w:rsidRoot w:val="7DC602ED"/>
    <w:rsid w:val="11925A35"/>
    <w:rsid w:val="35115C82"/>
    <w:rsid w:val="3C9F0792"/>
    <w:rsid w:val="5A8E7998"/>
    <w:rsid w:val="7DC60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样式1"/>
    <w:basedOn w:val="1"/>
    <w:qFormat/>
    <w:uiPriority w:val="0"/>
    <w:rPr>
      <w:rFonts w:hint="eastAsia" w:ascii="方正楷体_GBK" w:hAnsi="方正楷体_GBK" w:eastAsia="方正楷体_GBK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1639</Words>
  <Characters>1661</Characters>
  <Lines>0</Lines>
  <Paragraphs>0</Paragraphs>
  <TotalTime>14</TotalTime>
  <ScaleCrop>false</ScaleCrop>
  <LinksUpToDate>false</LinksUpToDate>
  <CharactersWithSpaces>1669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2022-01-20T07:40:00Z</dcterms:created>
  <dc:creator>燕子一嘉庆广告</dc:creator>
  <cp:lastModifiedBy>Lenovo</cp:lastModifiedBy>
  <dcterms:modified xsi:type="dcterms:W3CDTF">2023-01-11T08:05:28Z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72FA9092B68C40ACA43554077D83848A</vt:lpwstr>
  </property>
</Properties>
</file>